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A6" w:rsidRDefault="000F2FA6" w:rsidP="000F2FA6">
      <w:pPr>
        <w:jc w:val="center"/>
        <w:rPr>
          <w:rFonts w:ascii="方正小标宋简体" w:eastAsia="方正小标宋简体" w:hAnsi="微软雅黑" w:cs="微软雅黑" w:hint="eastAsia"/>
          <w:b/>
          <w:bCs/>
          <w:sz w:val="36"/>
          <w:szCs w:val="36"/>
          <w:shd w:val="clear" w:color="auto" w:fill="FFFFFF"/>
        </w:rPr>
      </w:pPr>
      <w:r w:rsidRPr="000F2FA6">
        <w:rPr>
          <w:rFonts w:ascii="方正小标宋简体" w:eastAsia="方正小标宋简体" w:hAnsi="微软雅黑" w:cs="微软雅黑" w:hint="eastAsia"/>
          <w:b/>
          <w:bCs/>
          <w:sz w:val="36"/>
          <w:szCs w:val="36"/>
          <w:shd w:val="clear" w:color="auto" w:fill="FFFFFF"/>
        </w:rPr>
        <w:t>中国矿业大学机电工程学院</w:t>
      </w:r>
      <w:r w:rsidRPr="000F2FA6">
        <w:rPr>
          <w:rFonts w:ascii="方正小标宋简体" w:eastAsia="方正小标宋简体" w:hAnsi="微软雅黑" w:cs="微软雅黑" w:hint="eastAsia"/>
          <w:b/>
          <w:bCs/>
          <w:sz w:val="36"/>
          <w:szCs w:val="36"/>
          <w:shd w:val="clear" w:color="auto" w:fill="FFFFFF"/>
        </w:rPr>
        <w:t>研究生学业奖学金</w:t>
      </w:r>
    </w:p>
    <w:p w:rsidR="000F2FA6" w:rsidRPr="000F2FA6" w:rsidRDefault="000F2FA6" w:rsidP="000F2FA6">
      <w:pPr>
        <w:spacing w:afterLines="100"/>
        <w:jc w:val="center"/>
        <w:rPr>
          <w:rFonts w:ascii="方正小标宋简体" w:eastAsia="方正小标宋简体" w:hAnsi="微软雅黑" w:cs="Times New Roman" w:hint="eastAsia"/>
          <w:b/>
          <w:bCs/>
          <w:sz w:val="36"/>
          <w:szCs w:val="36"/>
          <w:shd w:val="clear" w:color="auto" w:fill="FFFFFF"/>
        </w:rPr>
      </w:pPr>
      <w:r w:rsidRPr="000F2FA6">
        <w:rPr>
          <w:rFonts w:ascii="方正小标宋简体" w:eastAsia="方正小标宋简体" w:hAnsi="微软雅黑" w:cs="微软雅黑" w:hint="eastAsia"/>
          <w:b/>
          <w:bCs/>
          <w:sz w:val="36"/>
          <w:szCs w:val="36"/>
          <w:shd w:val="clear" w:color="auto" w:fill="FFFFFF"/>
        </w:rPr>
        <w:t>评定实施细则</w:t>
      </w:r>
    </w:p>
    <w:p w:rsidR="000F2FA6" w:rsidRPr="000F2FA6" w:rsidRDefault="000F2FA6" w:rsidP="000F2FA6">
      <w:pPr>
        <w:spacing w:line="56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0F2FA6">
        <w:rPr>
          <w:rFonts w:ascii="仿宋" w:eastAsia="仿宋" w:hAnsi="仿宋" w:cs="Times New Roman"/>
          <w:kern w:val="0"/>
          <w:sz w:val="28"/>
          <w:szCs w:val="28"/>
        </w:rPr>
        <w:t>为规范我院研究生学业奖学金评定工作，促进研究生培养机制改革健康、稳定地发展，根据《中国矿业大学硕士研究生学业奖学金管理暂行办法》（中矿大[2016]11号）、《关于研究生培养机制改革的实施意见》（中矿大[2009]7号）、《中国矿业大学研究生学业奖学金管理暂行办法（试行）》（中矿大研字[2009]2号）、《关于&lt;制定研究生学业奖学金评定实施细则&gt;的通知》和各年级《中国矿业大学研究生手册》，结合我院实际情况，特制定《中国矿业大学机电学院研究生学业奖学金评定实施细则》。本细则的实施，旨在通过对研究生德智体诸方面的表现计实量化，为研究生素质测评及学业奖学金评定工作提供一套较为科学、合理的方案，促进我院研究生全面发展。</w:t>
      </w:r>
    </w:p>
    <w:p w:rsidR="000F2FA6" w:rsidRPr="000F2FA6" w:rsidRDefault="000F2FA6" w:rsidP="000F2FA6">
      <w:pPr>
        <w:widowControl/>
        <w:numPr>
          <w:ilvl w:val="0"/>
          <w:numId w:val="1"/>
        </w:numPr>
        <w:shd w:val="clear" w:color="auto" w:fill="FFFFFF"/>
        <w:spacing w:before="75" w:after="150" w:line="375" w:lineRule="atLeast"/>
        <w:rPr>
          <w:rFonts w:ascii="仿宋" w:eastAsia="仿宋" w:hAnsi="仿宋" w:cs="黑体"/>
          <w:b/>
          <w:kern w:val="0"/>
          <w:sz w:val="28"/>
          <w:szCs w:val="28"/>
        </w:rPr>
      </w:pPr>
      <w:r w:rsidRPr="000F2FA6">
        <w:rPr>
          <w:rFonts w:ascii="仿宋" w:eastAsia="仿宋" w:hAnsi="仿宋" w:cs="黑体" w:hint="eastAsia"/>
          <w:b/>
          <w:kern w:val="0"/>
          <w:sz w:val="28"/>
          <w:szCs w:val="28"/>
        </w:rPr>
        <w:t>奖学金比例及金额</w:t>
      </w:r>
    </w:p>
    <w:tbl>
      <w:tblPr>
        <w:tblW w:w="0" w:type="auto"/>
        <w:tblInd w:w="93" w:type="dxa"/>
        <w:tblLayout w:type="fixed"/>
        <w:tblLook w:val="04A0"/>
      </w:tblPr>
      <w:tblGrid>
        <w:gridCol w:w="866"/>
        <w:gridCol w:w="709"/>
        <w:gridCol w:w="1134"/>
        <w:gridCol w:w="850"/>
        <w:gridCol w:w="851"/>
        <w:gridCol w:w="1141"/>
        <w:gridCol w:w="843"/>
        <w:gridCol w:w="851"/>
        <w:gridCol w:w="1184"/>
      </w:tblGrid>
      <w:tr w:rsidR="000F2FA6" w:rsidRPr="000F2FA6" w:rsidTr="000F2FA6">
        <w:trPr>
          <w:trHeight w:val="2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一年级硕士研究生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二</w:t>
            </w: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</w:t>
            </w: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三年级硕士研究生</w:t>
            </w:r>
          </w:p>
        </w:tc>
      </w:tr>
      <w:tr w:rsidR="000F2FA6" w:rsidRPr="000F2FA6" w:rsidTr="000F2FA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比例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额度</w:t>
            </w:r>
          </w:p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比例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额度</w:t>
            </w:r>
          </w:p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比例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额度</w:t>
            </w:r>
          </w:p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（万元）</w:t>
            </w:r>
          </w:p>
        </w:tc>
      </w:tr>
      <w:tr w:rsidR="000F2FA6" w:rsidRPr="000F2FA6" w:rsidTr="000F2FA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0.8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0.65</w:t>
            </w:r>
          </w:p>
        </w:tc>
      </w:tr>
      <w:tr w:rsidR="000F2FA6" w:rsidRPr="000F2FA6" w:rsidTr="000F2FA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二等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二等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二等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0.45</w:t>
            </w:r>
          </w:p>
        </w:tc>
      </w:tr>
    </w:tbl>
    <w:p w:rsidR="000F2FA6" w:rsidRPr="000F2FA6" w:rsidRDefault="000F2FA6" w:rsidP="000F2FA6">
      <w:pPr>
        <w:widowControl/>
        <w:numPr>
          <w:ilvl w:val="0"/>
          <w:numId w:val="1"/>
        </w:numPr>
        <w:shd w:val="clear" w:color="auto" w:fill="FFFFFF"/>
        <w:spacing w:before="75" w:after="150" w:line="375" w:lineRule="atLeast"/>
        <w:rPr>
          <w:rFonts w:ascii="仿宋" w:eastAsia="仿宋" w:hAnsi="仿宋" w:cs="黑体"/>
          <w:b/>
          <w:kern w:val="0"/>
          <w:sz w:val="28"/>
          <w:szCs w:val="28"/>
        </w:rPr>
      </w:pPr>
      <w:r w:rsidRPr="000F2FA6">
        <w:rPr>
          <w:rFonts w:ascii="仿宋" w:eastAsia="仿宋" w:hAnsi="仿宋" w:cs="黑体" w:hint="eastAsia"/>
          <w:b/>
          <w:kern w:val="0"/>
          <w:sz w:val="28"/>
          <w:szCs w:val="28"/>
        </w:rPr>
        <w:t>指标权重</w:t>
      </w:r>
    </w:p>
    <w:p w:rsidR="000F2FA6" w:rsidRPr="000F2FA6" w:rsidRDefault="000F2FA6" w:rsidP="000F2FA6">
      <w:pPr>
        <w:widowControl/>
        <w:shd w:val="clear" w:color="auto" w:fill="FFFFFF"/>
        <w:spacing w:before="75" w:after="150" w:line="375" w:lineRule="atLeast"/>
        <w:ind w:firstLine="480"/>
        <w:rPr>
          <w:rFonts w:ascii="仿宋" w:eastAsia="仿宋" w:hAnsi="仿宋" w:cs="Times New Roman"/>
          <w:kern w:val="0"/>
          <w:sz w:val="28"/>
          <w:szCs w:val="28"/>
        </w:rPr>
      </w:pPr>
      <w:r w:rsidRPr="000F2FA6">
        <w:rPr>
          <w:rFonts w:ascii="仿宋" w:eastAsia="仿宋" w:hAnsi="仿宋" w:cs="Times New Roman" w:hint="eastAsia"/>
          <w:kern w:val="0"/>
          <w:sz w:val="28"/>
          <w:szCs w:val="28"/>
        </w:rPr>
        <w:t>研究生奖学金评价内容和权重</w:t>
      </w:r>
    </w:p>
    <w:tbl>
      <w:tblPr>
        <w:tblW w:w="5000" w:type="pct"/>
        <w:jc w:val="center"/>
        <w:tblLook w:val="0000"/>
      </w:tblPr>
      <w:tblGrid>
        <w:gridCol w:w="1627"/>
        <w:gridCol w:w="1351"/>
        <w:gridCol w:w="1352"/>
        <w:gridCol w:w="1490"/>
        <w:gridCol w:w="1352"/>
        <w:gridCol w:w="1350"/>
      </w:tblGrid>
      <w:tr w:rsidR="000F2FA6" w:rsidRPr="000F2FA6" w:rsidTr="000F2FA6">
        <w:trPr>
          <w:trHeight w:val="642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学年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课程成绩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科研素质</w:t>
            </w: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社会工作</w:t>
            </w:r>
          </w:p>
        </w:tc>
      </w:tr>
      <w:tr w:rsidR="000F2FA6" w:rsidRPr="000F2FA6" w:rsidTr="000F2FA6">
        <w:trPr>
          <w:trHeight w:val="285"/>
          <w:jc w:val="center"/>
        </w:trPr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学术型硕士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第二学年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70%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5%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20%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5%</w:t>
            </w:r>
          </w:p>
        </w:tc>
      </w:tr>
      <w:tr w:rsidR="000F2FA6" w:rsidRPr="000F2FA6" w:rsidTr="000F2FA6">
        <w:trPr>
          <w:trHeight w:val="285"/>
          <w:jc w:val="center"/>
        </w:trPr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FA6" w:rsidRPr="000F2FA6" w:rsidRDefault="000F2FA6" w:rsidP="000E4F0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第三学年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20%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5%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70%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5%</w:t>
            </w:r>
          </w:p>
        </w:tc>
      </w:tr>
      <w:tr w:rsidR="000F2FA6" w:rsidRPr="000F2FA6" w:rsidTr="000F2FA6">
        <w:trPr>
          <w:trHeight w:val="285"/>
          <w:jc w:val="center"/>
        </w:trPr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应用型硕士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第二学年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70%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5%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20%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5%</w:t>
            </w:r>
          </w:p>
        </w:tc>
      </w:tr>
      <w:tr w:rsidR="000F2FA6" w:rsidRPr="000F2FA6" w:rsidTr="000F2FA6">
        <w:trPr>
          <w:trHeight w:val="285"/>
          <w:jc w:val="center"/>
        </w:trPr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6" w:rsidRPr="000F2FA6" w:rsidRDefault="000F2FA6" w:rsidP="000E4F0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第三学年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20%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5%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70%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5%</w:t>
            </w:r>
          </w:p>
        </w:tc>
      </w:tr>
      <w:tr w:rsidR="000F2FA6" w:rsidRPr="000F2FA6" w:rsidTr="000F2FA6">
        <w:trPr>
          <w:trHeight w:val="285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lastRenderedPageBreak/>
              <w:t>博士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第二学年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30%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10%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55%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5%</w:t>
            </w:r>
          </w:p>
        </w:tc>
      </w:tr>
      <w:tr w:rsidR="000F2FA6" w:rsidRPr="000F2FA6" w:rsidTr="000F2FA6">
        <w:trPr>
          <w:trHeight w:val="285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6" w:rsidRPr="000F2FA6" w:rsidRDefault="000F2FA6" w:rsidP="000E4F0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第三学年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20%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10%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65%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6" w:rsidRPr="000F2FA6" w:rsidRDefault="000F2FA6" w:rsidP="000E4F0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5%</w:t>
            </w:r>
          </w:p>
        </w:tc>
      </w:tr>
      <w:tr w:rsidR="000F2FA6" w:rsidRPr="000F2FA6" w:rsidTr="000F2FA6">
        <w:trPr>
          <w:trHeight w:val="51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FA6" w:rsidRPr="000F2FA6" w:rsidRDefault="000F2FA6" w:rsidP="000E4F0F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说明：</w:t>
            </w: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*</w:t>
            </w: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全日制专业学位硕士研究生考察专业实践能力</w:t>
            </w:r>
          </w:p>
        </w:tc>
      </w:tr>
    </w:tbl>
    <w:p w:rsidR="000F2FA6" w:rsidRPr="000F2FA6" w:rsidRDefault="000F2FA6" w:rsidP="000F2FA6">
      <w:pPr>
        <w:widowControl/>
        <w:numPr>
          <w:ilvl w:val="0"/>
          <w:numId w:val="1"/>
        </w:numPr>
        <w:shd w:val="clear" w:color="auto" w:fill="FFFFFF"/>
        <w:spacing w:before="75" w:after="150" w:line="375" w:lineRule="atLeast"/>
        <w:rPr>
          <w:rFonts w:ascii="仿宋" w:eastAsia="仿宋" w:hAnsi="仿宋" w:cs="黑体"/>
          <w:b/>
          <w:kern w:val="0"/>
          <w:sz w:val="28"/>
          <w:szCs w:val="28"/>
        </w:rPr>
      </w:pPr>
      <w:r w:rsidRPr="000F2FA6">
        <w:rPr>
          <w:rFonts w:ascii="仿宋" w:eastAsia="仿宋" w:hAnsi="仿宋" w:cs="黑体" w:hint="eastAsia"/>
          <w:b/>
          <w:kern w:val="0"/>
          <w:sz w:val="28"/>
          <w:szCs w:val="28"/>
        </w:rPr>
        <w:t>详细标准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1.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学习成绩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按必修课各科成绩加权平均分计算。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注：所有课程中有一门课程出现不及格者，下一年定为最低奖学金。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2.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科研素质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指导教师根据《中国矿业大学研究生科研素质基本要求与考核工作规定》进行打分。主要考核研究生参加学术活动、学术专题研讨以及参与科研活动的情况。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3.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创新能力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创新能力主要以学术论文、课外作品竞赛、专利发明以及科研获奖累计计分，不封顶。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（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）学术论文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研究生以中国矿业大学机电工程学院的名义，本人为第一作者发表的本专业学术论文，按照以下规则计分：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①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硕士研究生在国内机械类、仪表工业类核心期刊，综合性科学技术类核心刊物发表论文为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 10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篇，在矿业工程类、煤矿开采类核心期刊发表论文为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篇；博士研究生核心论文不计；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②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学院学位评定委员会认定的高水平期刊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篇；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③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在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EI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源刊发表论文未检索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篇、检索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篇（矿业工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lastRenderedPageBreak/>
        <w:t>程类、煤矿开采类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EI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源刊论文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篇）；</w:t>
      </w:r>
    </w:p>
    <w:p w:rsidR="000F2FA6" w:rsidRPr="000F2FA6" w:rsidRDefault="000F2FA6" w:rsidP="000F2FA6">
      <w:pPr>
        <w:numPr>
          <w:ilvl w:val="0"/>
          <w:numId w:val="2"/>
        </w:numPr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在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SCI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源刊发表论文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篇。</w:t>
      </w:r>
    </w:p>
    <w:p w:rsid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 w:hint="eastAsia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注：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①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研究生需提供所发表论文的复印件（应包括封面、目录及正文）；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②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SCI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、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EI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源刊必须提供发表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(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含在线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)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或检索证明；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③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导师为第一作者的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SCI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源刊的论文，研究生排名第二且为通讯作者时按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篇计算；（以投稿时的导师为准）；</w:t>
      </w:r>
      <w:bookmarkStart w:id="0" w:name="_GoBack"/>
      <w:bookmarkEnd w:id="0"/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④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核心期刊以发表时的北京大学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“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中文核心期刊目录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”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（最新版）为准；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⑤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同一篇论文按最高分值项计分，不重复计分；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⑥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在研究生学习期间，核心类期刊，只计入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篇；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⑦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会议论文不算在评选范围内。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（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）课外作品竞赛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①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参加高水平国家级竞赛（挑战杯、机械创新设计大赛、全国大学生节能减排）并获奖，特等奖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分，一等奖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80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分，二等奖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分，三等奖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分，人员取前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②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参加其他国家级竞赛（由全国学联、中国科协、国家级协会及教指委主办）并获奖，特等奖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分，一等奖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分，二等奖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分，三等奖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15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分，人员取前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lastRenderedPageBreak/>
        <w:t>③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参加省级竞赛（由省教育厅、科技厅、团省委、省学联、国家级学会、省科协主办）并获奖，特等奖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分，一等奖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分，二等奖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15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分，三等奖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分，人员前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注：若奖项按名次评奖，则第一名对应一等奖，第二、三名对应二等奖，第四、五名对应三等奖。有多人参加获奖且获奖证书注明排名不分先后的竞赛活动，可以按照所有获奖人员均分总成绩或协商后的排序进行加分，但需全体获奖人员签字确认，不按时提交全体获奖人员确认书的取消所有获奖人加分成绩；如果证书上没有明确注明排名不分先后的奖项，将按照证书上获奖人名字出现顺序进行排序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（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）专利发明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授权国际发明专利，专利权人为中国矿业大学且本人为第一发明人的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件，第二发明人（导师为第一发明人，以申请时的导师为准）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50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件；授权国内发明专利或申请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PCT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专利（有三性）且进入一个国家及以上，专利权人为中国矿业大学且本人为第一发明人的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件，第二发明人（导师为第一发明人，以申请时的导师为准）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件；专利权人中国矿业大学为第一单位按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100%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计分，第二单位按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50%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计分，专利权人为个人不加分，专利内容需要和本专业相关；以专利申请时的人员及顺序为准。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（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）科研获奖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①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 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获得国家级奖（有证书）：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一等奖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分；二等奖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150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lastRenderedPageBreak/>
        <w:t>②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 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获得省部级（含教育部）奖，一等奖前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名，二等奖前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名，三等奖前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名的：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一等奖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二等奖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80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三等奖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％计分，第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名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％计分。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4.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其它工作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其它工作计分主要以参加集体活动、文体活动获奖和社会工作累计计分，总分上限为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（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）参加集体活动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上限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50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分，一次不参加扣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10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分，扣完此项为止。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（</w:t>
      </w:r>
      <w:r w:rsidRPr="000F2FA6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）文体活动获奖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相同体育项目，只能加一次。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0"/>
        <w:gridCol w:w="2001"/>
        <w:gridCol w:w="2124"/>
        <w:gridCol w:w="2127"/>
      </w:tblGrid>
      <w:tr w:rsidR="000F2FA6" w:rsidRPr="000F2FA6" w:rsidTr="000F2FA6">
        <w:trPr>
          <w:jc w:val="center"/>
        </w:trPr>
        <w:tc>
          <w:tcPr>
            <w:tcW w:w="1332" w:type="pct"/>
            <w:tcBorders>
              <w:tl2br w:val="single" w:sz="4" w:space="0" w:color="auto"/>
            </w:tcBorders>
          </w:tcPr>
          <w:p w:rsidR="000F2FA6" w:rsidRPr="000F2FA6" w:rsidRDefault="000F2FA6" w:rsidP="000F2FA6">
            <w:pPr>
              <w:widowControl/>
              <w:spacing w:line="360" w:lineRule="atLeast"/>
              <w:ind w:firstLineChars="500" w:firstLine="120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等级</w:t>
            </w:r>
          </w:p>
          <w:p w:rsidR="000F2FA6" w:rsidRPr="000F2FA6" w:rsidRDefault="000F2FA6" w:rsidP="000E4F0F">
            <w:pPr>
              <w:widowControl/>
              <w:spacing w:line="36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1174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46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49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三等奖</w:t>
            </w:r>
          </w:p>
        </w:tc>
      </w:tr>
      <w:tr w:rsidR="000F2FA6" w:rsidRPr="000F2FA6" w:rsidTr="000F2FA6">
        <w:trPr>
          <w:jc w:val="center"/>
        </w:trPr>
        <w:tc>
          <w:tcPr>
            <w:tcW w:w="1332" w:type="pct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校、市级</w:t>
            </w:r>
          </w:p>
        </w:tc>
        <w:tc>
          <w:tcPr>
            <w:tcW w:w="1174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246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0F2FA6" w:rsidRPr="000F2FA6" w:rsidTr="000F2FA6">
        <w:trPr>
          <w:jc w:val="center"/>
        </w:trPr>
        <w:tc>
          <w:tcPr>
            <w:tcW w:w="1332" w:type="pct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省级</w:t>
            </w:r>
          </w:p>
        </w:tc>
        <w:tc>
          <w:tcPr>
            <w:tcW w:w="1174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246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249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0F2FA6" w:rsidRPr="000F2FA6" w:rsidTr="000F2FA6">
        <w:trPr>
          <w:jc w:val="center"/>
        </w:trPr>
        <w:tc>
          <w:tcPr>
            <w:tcW w:w="1332" w:type="pct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全国</w:t>
            </w:r>
          </w:p>
        </w:tc>
        <w:tc>
          <w:tcPr>
            <w:tcW w:w="1174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246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249" w:type="pct"/>
            <w:vAlign w:val="center"/>
          </w:tcPr>
          <w:p w:rsidR="000F2FA6" w:rsidRPr="000F2FA6" w:rsidRDefault="000F2FA6" w:rsidP="000E4F0F">
            <w:pPr>
              <w:widowControl/>
              <w:spacing w:line="3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</w:tbl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（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）社会工作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各级各类研究生干部加分标准如下：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134"/>
        <w:gridCol w:w="1205"/>
        <w:gridCol w:w="1183"/>
      </w:tblGrid>
      <w:tr w:rsidR="000F2FA6" w:rsidRPr="000F2FA6" w:rsidTr="000F2FA6">
        <w:trPr>
          <w:jc w:val="center"/>
        </w:trPr>
        <w:tc>
          <w:tcPr>
            <w:tcW w:w="3599" w:type="pct"/>
            <w:tcBorders>
              <w:tl2br w:val="single" w:sz="6" w:space="0" w:color="000000"/>
            </w:tcBorders>
            <w:vAlign w:val="center"/>
          </w:tcPr>
          <w:p w:rsidR="000F2FA6" w:rsidRPr="000F2FA6" w:rsidRDefault="000F2FA6" w:rsidP="000E4F0F">
            <w:pPr>
              <w:spacing w:line="264" w:lineRule="auto"/>
              <w:ind w:firstLineChars="1200" w:firstLine="28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等级</w:t>
            </w:r>
          </w:p>
          <w:p w:rsidR="000F2FA6" w:rsidRPr="000F2FA6" w:rsidRDefault="000F2FA6" w:rsidP="000E4F0F">
            <w:pPr>
              <w:spacing w:line="264" w:lineRule="auto"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707" w:type="pct"/>
            <w:vAlign w:val="center"/>
          </w:tcPr>
          <w:p w:rsidR="000F2FA6" w:rsidRPr="000F2FA6" w:rsidRDefault="000F2FA6" w:rsidP="000E4F0F">
            <w:pPr>
              <w:spacing w:line="264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优秀</w:t>
            </w:r>
          </w:p>
        </w:tc>
        <w:tc>
          <w:tcPr>
            <w:tcW w:w="694" w:type="pct"/>
            <w:vAlign w:val="center"/>
          </w:tcPr>
          <w:p w:rsidR="000F2FA6" w:rsidRPr="000F2FA6" w:rsidRDefault="000F2FA6" w:rsidP="000E4F0F">
            <w:pPr>
              <w:spacing w:line="264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合格</w:t>
            </w:r>
          </w:p>
        </w:tc>
      </w:tr>
      <w:tr w:rsidR="000F2FA6" w:rsidRPr="000F2FA6" w:rsidTr="000F2FA6">
        <w:trPr>
          <w:jc w:val="center"/>
        </w:trPr>
        <w:tc>
          <w:tcPr>
            <w:tcW w:w="3599" w:type="pct"/>
            <w:vAlign w:val="center"/>
          </w:tcPr>
          <w:p w:rsidR="000F2FA6" w:rsidRPr="000F2FA6" w:rsidRDefault="000F2FA6" w:rsidP="000E4F0F">
            <w:pPr>
              <w:spacing w:line="264" w:lineRule="auto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党支部书记、班长及校、院级研究生会主席团成员</w:t>
            </w:r>
          </w:p>
        </w:tc>
        <w:tc>
          <w:tcPr>
            <w:tcW w:w="707" w:type="pct"/>
            <w:vAlign w:val="center"/>
          </w:tcPr>
          <w:p w:rsidR="000F2FA6" w:rsidRPr="000F2FA6" w:rsidRDefault="000F2FA6" w:rsidP="000E4F0F">
            <w:pPr>
              <w:spacing w:line="264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pct"/>
            <w:vAlign w:val="center"/>
          </w:tcPr>
          <w:p w:rsidR="000F2FA6" w:rsidRPr="000F2FA6" w:rsidRDefault="000F2FA6" w:rsidP="000E4F0F">
            <w:pPr>
              <w:spacing w:line="264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0F2FA6" w:rsidRPr="000F2FA6" w:rsidTr="000F2FA6">
        <w:trPr>
          <w:jc w:val="center"/>
        </w:trPr>
        <w:tc>
          <w:tcPr>
            <w:tcW w:w="3599" w:type="pct"/>
            <w:vAlign w:val="center"/>
          </w:tcPr>
          <w:p w:rsidR="000F2FA6" w:rsidRPr="000F2FA6" w:rsidRDefault="000F2FA6" w:rsidP="000E4F0F">
            <w:pPr>
              <w:spacing w:line="264" w:lineRule="auto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校级研究生会部长、研究生学术交流中心主任团（研究生学术交流中心正副主任、学术论坛中心正副主任、《矿大研究生》杂志正副主编、《中国矿业大学研究生学报》正副主编）</w:t>
            </w:r>
          </w:p>
        </w:tc>
        <w:tc>
          <w:tcPr>
            <w:tcW w:w="707" w:type="pct"/>
            <w:vAlign w:val="center"/>
          </w:tcPr>
          <w:p w:rsidR="000F2FA6" w:rsidRPr="000F2FA6" w:rsidRDefault="000F2FA6" w:rsidP="000E4F0F">
            <w:pPr>
              <w:spacing w:line="264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pct"/>
            <w:vAlign w:val="center"/>
          </w:tcPr>
          <w:p w:rsidR="000F2FA6" w:rsidRPr="000F2FA6" w:rsidRDefault="000F2FA6" w:rsidP="000E4F0F">
            <w:pPr>
              <w:spacing w:line="264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FA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</w:tbl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lastRenderedPageBreak/>
        <w:t>①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考核对象：凡任期一年以上，工作中无重大疏漏的班级学生干部，采取班级民主测评确定考评等级；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②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由于学院、班级组织调整需要，工作不满一年的，实际考核加分为班级民主测评等级乘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0.5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③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由于个人原因主动辞职，工作不满一年的学生干部不参与考核加分；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④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担任校级各类职务，必须出具校相关部门聘任证书及该职务工作考核评价书面材料。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3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、其他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①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成果计算时间规定：每年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9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月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1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日至次年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8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月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31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日；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②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在分值相同的条件下，首先以第一作者发表高水平论文（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SCI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、期刊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EI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）优先</w:t>
      </w:r>
      <w:r w:rsidRPr="000F2FA6">
        <w:rPr>
          <w:rFonts w:ascii="Times New Roman" w:eastAsia="仿宋" w:hAnsi="仿宋" w:cs="Times New Roman"/>
          <w:kern w:val="0"/>
          <w:sz w:val="28"/>
          <w:szCs w:val="28"/>
        </w:rPr>
        <w:t>,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其次以成绩加权平均分成绩高低评选；再次以班级学生干部及学校或学院研究生会干部优先，最后以科研素质分值高低评选；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③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凡弄虚作假、拖延不交相关材料或材料不全者，直接为无奖学金；</w:t>
      </w:r>
    </w:p>
    <w:p w:rsidR="000F2FA6" w:rsidRP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④</w:t>
      </w:r>
      <w:r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</w:t>
      </w: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违反学校和学院有关安全条例的取消所有奖学金评定资格；</w:t>
      </w:r>
    </w:p>
    <w:p w:rsidR="00521F7C" w:rsidRDefault="000F2FA6" w:rsidP="000F2FA6">
      <w:pPr>
        <w:ind w:firstLineChars="200" w:firstLine="560"/>
        <w:jc w:val="left"/>
        <w:rPr>
          <w:rFonts w:ascii="Times New Roman" w:eastAsia="仿宋" w:hAnsi="仿宋" w:cs="Times New Roman" w:hint="eastAsia"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kern w:val="0"/>
          <w:sz w:val="28"/>
          <w:szCs w:val="28"/>
        </w:rPr>
        <w:t>其他未尽事宜，按学校有关规定执行。</w:t>
      </w:r>
    </w:p>
    <w:p w:rsid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 w:hint="eastAsia"/>
          <w:kern w:val="0"/>
          <w:sz w:val="28"/>
          <w:szCs w:val="28"/>
        </w:rPr>
      </w:pPr>
    </w:p>
    <w:p w:rsidR="000F2FA6" w:rsidRDefault="000F2FA6" w:rsidP="000F2FA6">
      <w:pPr>
        <w:ind w:firstLineChars="200" w:firstLine="560"/>
        <w:jc w:val="left"/>
        <w:rPr>
          <w:rFonts w:ascii="Times New Roman" w:eastAsia="仿宋" w:hAnsi="仿宋" w:cs="Times New Roman" w:hint="eastAsia"/>
          <w:kern w:val="0"/>
          <w:sz w:val="28"/>
          <w:szCs w:val="28"/>
        </w:rPr>
      </w:pPr>
    </w:p>
    <w:p w:rsidR="000F2FA6" w:rsidRPr="000F2FA6" w:rsidRDefault="000F2FA6" w:rsidP="000F2FA6">
      <w:pPr>
        <w:ind w:firstLineChars="200" w:firstLine="562"/>
        <w:jc w:val="right"/>
        <w:rPr>
          <w:rFonts w:ascii="Times New Roman" w:eastAsia="仿宋" w:hAnsi="仿宋" w:cs="Times New Roman" w:hint="eastAsia"/>
          <w:b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b/>
          <w:kern w:val="0"/>
          <w:sz w:val="28"/>
          <w:szCs w:val="28"/>
        </w:rPr>
        <w:t>机电工程学院</w:t>
      </w:r>
    </w:p>
    <w:p w:rsidR="000F2FA6" w:rsidRPr="000F2FA6" w:rsidRDefault="000F2FA6" w:rsidP="000F2FA6">
      <w:pPr>
        <w:ind w:firstLineChars="200" w:firstLine="562"/>
        <w:jc w:val="right"/>
        <w:rPr>
          <w:rFonts w:ascii="Times New Roman" w:eastAsia="仿宋" w:hAnsi="仿宋" w:cs="Times New Roman"/>
          <w:b/>
          <w:kern w:val="0"/>
          <w:sz w:val="28"/>
          <w:szCs w:val="28"/>
        </w:rPr>
      </w:pPr>
      <w:r w:rsidRPr="000F2FA6">
        <w:rPr>
          <w:rFonts w:ascii="Times New Roman" w:eastAsia="仿宋" w:hAnsi="仿宋" w:cs="Times New Roman" w:hint="eastAsia"/>
          <w:b/>
          <w:kern w:val="0"/>
          <w:sz w:val="28"/>
          <w:szCs w:val="28"/>
        </w:rPr>
        <w:t>2018</w:t>
      </w:r>
      <w:r w:rsidRPr="000F2FA6">
        <w:rPr>
          <w:rFonts w:ascii="Times New Roman" w:eastAsia="仿宋" w:hAnsi="仿宋" w:cs="Times New Roman" w:hint="eastAsia"/>
          <w:b/>
          <w:kern w:val="0"/>
          <w:sz w:val="28"/>
          <w:szCs w:val="28"/>
        </w:rPr>
        <w:t>年</w:t>
      </w:r>
      <w:r w:rsidRPr="000F2FA6">
        <w:rPr>
          <w:rFonts w:ascii="Times New Roman" w:eastAsia="仿宋" w:hAnsi="仿宋" w:cs="Times New Roman" w:hint="eastAsia"/>
          <w:b/>
          <w:kern w:val="0"/>
          <w:sz w:val="28"/>
          <w:szCs w:val="28"/>
        </w:rPr>
        <w:t>1</w:t>
      </w:r>
      <w:r w:rsidRPr="000F2FA6">
        <w:rPr>
          <w:rFonts w:ascii="Times New Roman" w:eastAsia="仿宋" w:hAnsi="仿宋" w:cs="Times New Roman" w:hint="eastAsia"/>
          <w:b/>
          <w:kern w:val="0"/>
          <w:sz w:val="28"/>
          <w:szCs w:val="28"/>
        </w:rPr>
        <w:t>月</w:t>
      </w:r>
    </w:p>
    <w:sectPr w:rsidR="000F2FA6" w:rsidRPr="000F2FA6" w:rsidSect="008030B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4250"/>
    <w:multiLevelType w:val="hybridMultilevel"/>
    <w:tmpl w:val="4BDEE1A8"/>
    <w:lvl w:ilvl="0" w:tplc="B11AB37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2FA277D"/>
    <w:multiLevelType w:val="hybridMultilevel"/>
    <w:tmpl w:val="146CDB64"/>
    <w:lvl w:ilvl="0" w:tplc="C02CD3D8">
      <w:start w:val="4"/>
      <w:numFmt w:val="decimalEnclosedCircle"/>
      <w:lvlText w:val="%1"/>
      <w:lvlJc w:val="left"/>
      <w:pPr>
        <w:ind w:left="840" w:hanging="360"/>
      </w:pPr>
      <w:rPr>
        <w:rFonts w:hAnsi="宋体" w:cs="宋体" w:hint="default"/>
      </w:rPr>
    </w:lvl>
    <w:lvl w:ilvl="1" w:tplc="1E38D2CA">
      <w:start w:val="1"/>
      <w:numFmt w:val="decimalEnclosedCircle"/>
      <w:lvlText w:val="%2"/>
      <w:lvlJc w:val="left"/>
      <w:pPr>
        <w:ind w:left="1260" w:hanging="360"/>
      </w:pPr>
      <w:rPr>
        <w:rFonts w:hAnsi="宋体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FA6"/>
    <w:rsid w:val="000F2FA6"/>
    <w:rsid w:val="00521F7C"/>
    <w:rsid w:val="00E1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A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2018-09-26T02:57:00Z</cp:lastPrinted>
  <dcterms:created xsi:type="dcterms:W3CDTF">2018-09-26T02:43:00Z</dcterms:created>
  <dcterms:modified xsi:type="dcterms:W3CDTF">2018-09-26T03:05:00Z</dcterms:modified>
</cp:coreProperties>
</file>